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jpg" ContentType="image/jpeg"/>
  <Override PartName="/word/media/rId50.jpg" ContentType="image/jpeg"/>
  <Override PartName="/word/media/rId54.jpg" ContentType="image/jpeg"/>
  <Override PartName="/word/media/rId51.png" ContentType="image/png"/>
  <Override PartName="/word/media/rId52.jpg" ContentType="image/jpeg"/>
  <Override PartName="/word/media/rId55.jpg" ContentType="image/jpeg"/>
  <Override PartName="/word/media/rId57.jpg" ContentType="image/jpeg"/>
  <Override PartName="/word/media/rId56.jpg" ContentType="image/jpeg"/>
  <Override PartName="/word/media/rId5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Wed Feb 13 15:35:37 2019 -0800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constrained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(e.g., watershed imperviousness)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Resource management decisions may be difficult to make if information is unavailable that describes these limitations. Context is required that describes how likely a site is to achieve biological integrity and how bioassessment data collected over multiple locations and times can be used to support decisions or identify priorities.</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Managing streams in urban or agricultural settings can be costly, success is not universally defined, and achieving regional reference-like conditions may not be feasible</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in addition to upstream preventive measures that may be incentivized or enforced through regulation. Although these approaches can lead to improvements in ecological condition, there is no universal remedy for achieving biological integrity in streams. In urban areas, protective thresholds for biological integrity been debated</w:t>
      </w:r>
      <w:r>
        <w:t xml:space="preserve"> </w:t>
      </w:r>
      <w:r>
        <w:t xml:space="preserve">(Cuffney et al.</w:t>
      </w:r>
      <w:r>
        <w:t xml:space="preserve"> </w:t>
      </w:r>
      <w:hyperlink w:anchor="ref-Cuffney11">
        <w:r>
          <w:rPr>
            <w:rStyle w:val="Hyperlink"/>
          </w:rPr>
          <w:t xml:space="preserve">2011</w:t>
        </w:r>
      </w:hyperlink>
      <w:r>
        <w:t xml:space="preserve">)</w:t>
      </w:r>
      <w:r>
        <w:t xml:space="preserve">. Moreover, extensive modifications to streams for flood control or water conveyance are common in developed landscapes.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Herein, we define constrained streams as those where present landscapes are likely to limit biological integrity. This definition describes a biological expectation and is distinct from the classical definition used in the general stream ecology literature (e.g., a physically constrained channel in the morphological sense). By describing an expected range of biological conditions due to factors that constrain biointegrity and may be difficult to manage, efforts to improve or protect condition could be prioritized at sites where alternative or more easily managed factors are influencing condition. For example, a monitoring site with an observed biological index score that is above a predicted range could be assigned a higher management priority relative to a site that is scoring within the range that is expected based on landscape development. A predictive model of bioassessment scores that is based on landscape metrics (e.g., imperviousness) could describe constraints on biological integrity, whereas variation of observed scores around a model prediction could suggest other factors at the local scale (e.g., instream physical habitat) are more important. Analysis methods that characterize biotic and abiotic factors that limit assemblage composition have been explored by others (i.e., limiting factor theory,</w:t>
      </w:r>
      <w:r>
        <w:t xml:space="preserve"> </w:t>
      </w:r>
      <w:r>
        <w:t xml:space="preserve">Chessman, Muschal, and Royal (</w:t>
      </w:r>
      <w:hyperlink w:anchor="ref-Chessman08">
        <w:r>
          <w:rPr>
            <w:rStyle w:val="Hyperlink"/>
          </w:rPr>
          <w:t xml:space="preserve">2008</w:t>
        </w:r>
      </w:hyperlink>
      <w:r>
        <w:t xml:space="preserve">)</w:t>
      </w:r>
      <w:r>
        <w:t xml:space="preserve">,</w:t>
      </w:r>
      <w:r>
        <w:t xml:space="preserve"> </w:t>
      </w:r>
      <w:r>
        <w:t xml:space="preserve">Chessman (</w:t>
      </w:r>
      <w:hyperlink w:anchor="ref-Chessman14">
        <w:r>
          <w:rPr>
            <w:rStyle w:val="Hyperlink"/>
          </w:rPr>
          <w:t xml:space="preserve">2014</w:t>
        </w:r>
      </w:hyperlink>
      <w:r>
        <w:t xml:space="preserve">)</w:t>
      </w:r>
      <w:r>
        <w:t xml:space="preserve">). Similar concepts have been applied in a landscape context to describe variation in biological communities and metrics at different spatial scales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although they have not been developed to describe constraints as defined above.</w:t>
      </w:r>
    </w:p>
    <w:p>
      <w:pPr>
        <w:pStyle w:val="BodyText"/>
      </w:pPr>
      <w:r>
        <w:t xml:space="preserve">The relationship between stream condition and watershed characteristics has been a critical concept for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w:t>
      </w:r>
      <w:r>
        <w:t xml:space="preserve">and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These approaches can be conceptualized within the Driver-Pressure-Stress-Impact-Response (DPSIR) framework that describes relationships between the origins and consquences of environmental problems</w:t>
      </w:r>
      <w:r>
        <w:t xml:space="preserve"> </w:t>
      </w:r>
      <w:r>
        <w:t xml:space="preserve">(Smeets and Weterings</w:t>
      </w:r>
      <w:r>
        <w:t xml:space="preserve"> </w:t>
      </w:r>
      <w:hyperlink w:anchor="ref-Smeets99">
        <w:r>
          <w:rPr>
            <w:rStyle w:val="Hyperlink"/>
          </w:rPr>
          <w:t xml:space="preserve">1999</w:t>
        </w:r>
      </w:hyperlink>
      <w:r>
        <w:t xml:space="preserve">)</w:t>
      </w:r>
      <w:r>
        <w:t xml:space="preserve">. However, past efforts have primarily focused on characterizing condition at unsampled locations, often predicting the most likely condition by estimating averages. Alternative modelling approaches, such as quantile-based methods (e.g.,</w:t>
      </w:r>
      <w:r>
        <w:t xml:space="preserve"> </w:t>
      </w:r>
      <w:r>
        <w:t xml:space="preserve">Cade and Noon (</w:t>
      </w:r>
      <w:hyperlink w:anchor="ref-Cade03">
        <w:r>
          <w:rPr>
            <w:rStyle w:val="Hyperlink"/>
          </w:rPr>
          <w:t xml:space="preserve">2003</w:t>
        </w:r>
      </w:hyperlink>
      <w:r>
        <w:t xml:space="preserve">)</w:t>
      </w:r>
      <w:r>
        <w:t xml:space="preserve">), could be used to predict a range of expectations for biotic integrity from geospatial data.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was to present the development and application of a landscape model to classify biological constraints in streams based on the likelihood that an upper expectation of bioassessment scores is limited by landscape alteration. Our specific objectives were to 1) develop the model using statewide bioassessment data to assign streams to different constraint classes and 2) use these results at a regional scale to identify how constraint classes can inform management priorities. The model was developed and applied to all streams and rivers in California, specifically focusing on the potential of urban and agricultural land use to constrain biological condition. Our case study demonstrated how the statewide model could be used to classify and prioritize at the regional scale using guidance from a local stakeholder group from a heavily urbanized watershed where obstacles for achieving biological integrity have been encountered. An interactive software application, the Stream Classification and Priority Explorer (SCAPE), was developed for our case study to help stakeholders choose regional management priorities from the statewide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A general assumption was that water quality issues could be conceptually linked to societal and economic drivers, reflected through the link between land use and stream biotic integrity (e.g., under the DPSIR framework, Figure</w:t>
      </w:r>
      <w:r>
        <w:t xml:space="preserve"> </w:t>
      </w:r>
      <w:r>
        <w:t xml:space="preserve">2</w:t>
      </w:r>
      <w:r>
        <w:t xml:space="preserve">,</w:t>
      </w:r>
      <w:r>
        <w:t xml:space="preserve"> </w:t>
      </w:r>
      <w:r>
        <w:t xml:space="preserve">Smeets and Weterings (</w:t>
      </w:r>
      <w:hyperlink w:anchor="ref-Smeets99">
        <w:r>
          <w:rPr>
            <w:rStyle w:val="Hyperlink"/>
          </w:rPr>
          <w:t xml:space="preserve">1999</w:t>
        </w:r>
      </w:hyperlink>
      <w:r>
        <w:t xml:space="preserve">)</w:t>
      </w:r>
      <w:r>
        <w:t xml:space="preserve">).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based on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proposed to identify the likelihood of biological alteration</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for applying the landscape model.</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We aggregated data collected under more than 20 federal, state, and regional bioassessment programs. Some of these programs employed a spatially balanced probabilistic design (e.g., the statewide Perennial Stream Assessment</w:t>
      </w:r>
      <w:r>
        <w:t xml:space="preserve"> </w:t>
      </w:r>
      <w:r>
        <w:t xml:space="preserve">(Rehn</w:t>
      </w:r>
      <w:r>
        <w:t xml:space="preserve"> </w:t>
      </w:r>
      <w:hyperlink w:anchor="ref-Rehn15">
        <w:r>
          <w:rPr>
            <w:rStyle w:val="Hyperlink"/>
          </w:rPr>
          <w:t xml:space="preserve">2015</w:t>
        </w:r>
      </w:hyperlink>
      <w:r>
        <w:t xml:space="preserve">)</w:t>
      </w:r>
      <w:r>
        <w:t xml:space="preserve">, or the Stormwater Monitoring Coalition’s survey of southern California streams,</w:t>
      </w:r>
      <w:r>
        <w:t xml:space="preserve"> </w:t>
      </w:r>
      <w:r>
        <w:t xml:space="preserve">Mazor (</w:t>
      </w:r>
      <w:hyperlink w:anchor="ref-Mazor15">
        <w:r>
          <w:rPr>
            <w:rStyle w:val="Hyperlink"/>
          </w:rPr>
          <w:t xml:space="preserve">2015</w:t>
        </w:r>
      </w:hyperlink>
      <w:r>
        <w:t xml:space="preserve">)</w:t>
      </w:r>
      <w:r>
        <w:t xml:space="preserve">), although other programs used different designs for project-specific purposes (such as the statewide Reference Condition Monitoring Program,</w:t>
      </w:r>
      <w:r>
        <w:t xml:space="preserve"> </w:t>
      </w:r>
      <w:r>
        <w:t xml:space="preserve">Ode et al. (</w:t>
      </w:r>
      <w:hyperlink w:anchor="ref-Ode16">
        <w:r>
          <w:rPr>
            <w:rStyle w:val="Hyperlink"/>
          </w:rPr>
          <w:t xml:space="preserve">2016</w:t>
        </w:r>
      </w:hyperlink>
      <w:r>
        <w:t xml:space="preserve">)</w:t>
      </w:r>
      <w:r>
        <w:t xml:space="preserve">). Most of these programs targeted perennial streams, although an unknown number of intermittent streams with flows lasting into the normal sampling period were included</w:t>
      </w:r>
      <w:r>
        <w:t xml:space="preserve"> </w:t>
      </w:r>
      <w:r>
        <w:t xml:space="preserve">(Mazor et al.</w:t>
      </w:r>
      <w:r>
        <w:t xml:space="preserve"> </w:t>
      </w:r>
      <w:hyperlink w:anchor="ref-Mazor14">
        <w:r>
          <w:rPr>
            <w:rStyle w:val="Hyperlink"/>
          </w:rPr>
          <w:t xml:space="preserve">2014</w:t>
        </w:r>
      </w:hyperlink>
      <w:r>
        <w:t xml:space="preserve">)</w:t>
      </w:r>
      <w:r>
        <w:t xml:space="preserve">, particularly in more arid southern California. Because these programs are extensive, most regions and stream-types where perennial wadeable streams are located were represented in the calibration data set.</w:t>
      </w:r>
    </w:p>
    <w:p>
      <w:pPr>
        <w:pStyle w:val="BodyText"/>
      </w:pPr>
      <w:r>
        <w:t xml:space="preserve">Field samples were collected during base flow conditions typically between May and July following methods in</w:t>
      </w:r>
      <w:r>
        <w:t xml:space="preserve"> </w:t>
      </w:r>
      <w:r>
        <w:t xml:space="preserve">Ode, Fetscher, and Busse (</w:t>
      </w:r>
      <w:hyperlink w:anchor="ref-Ode16b">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Expected CSCI scores were modelled using estimates of canal/ditch density, imperviousness, road density/crossings, and urban and agricultural land use for each stream segment (Table</w:t>
      </w:r>
      <w:r>
        <w:t xml:space="preserve"> </w:t>
      </w:r>
      <w:r>
        <w:t xml:space="preserve">1</w:t>
      </w:r>
      <w:r>
        <w:t xml:space="preserve">, Figure S1). StreamCat was used as the only source for predictor variables because of consistent methods and linkage to NHD-Plus flowlines</w:t>
      </w:r>
      <w:r>
        <w:t xml:space="preserve"> </w:t>
      </w:r>
      <w:r>
        <w:t xml:space="preserve">(Hill et al.</w:t>
      </w:r>
      <w:r>
        <w:t xml:space="preserve"> </w:t>
      </w:r>
      <w:hyperlink w:anchor="ref-Hill16">
        <w:r>
          <w:rPr>
            <w:rStyle w:val="Hyperlink"/>
          </w:rPr>
          <w:t xml:space="preserve">2016</w:t>
        </w:r>
      </w:hyperlink>
      <w:r>
        <w:t xml:space="preserve">)</w:t>
      </w:r>
      <w:r>
        <w:t xml:space="preserve">. Preliminary analyses indicated that these variables adequately described biological constraints relative to a larger model with additional variables. These variables were chosen specifically to describe biologically constrained sites where present landscapes were likely to limit CSCI scores that describe macroinvertebrate condition. Landscape variables were selected rather than more proximal variables (e.g., in-stream water quality) given that constraints were defined relative to potential impacts on biological condition that are typically beyond the scope of management intervention or where costs to mitigate are likely prohibitive. Further, channel modification was not chosen as a predictor because it narrowly described constraints relative to our definition, i.e., urbanization was more inclusive of constraints, whereas modified channels may or may not be constrained. Overall, the model was associative by design and not descriptive of immediate causes of poor biological condition. We assumed that deviation of observed scores from the model predictions (i.e., residuals) could be used to describe in-stream factors associated with condition for follow-up analysis.</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statewide validated model (described below) was used to predict percentile expectations of CSCI scores at all stream segments where predictors were available. For example, the 50th percentile prediction was the most likely score for a stream segment given observed values for landscape variables, whereas a lower (e.g., 5th percentile) and upper (95th percentile) bound on the median (and points in between) were also predicted. The quantregForest package</w:t>
      </w:r>
      <w:r>
        <w:t xml:space="preserve"> </w:t>
      </w:r>
      <w:r>
        <w:t xml:space="preserve">(Meinshausen</w:t>
      </w:r>
      <w:r>
        <w:t xml:space="preserve"> </w:t>
      </w:r>
      <w:hyperlink w:anchor="ref-Meinshausen17">
        <w:r>
          <w:rPr>
            <w:rStyle w:val="Hyperlink"/>
          </w:rPr>
          <w:t xml:space="preserve">2017</w:t>
        </w:r>
      </w:hyperlink>
      <w:r>
        <w:t xml:space="preserve">)</w:t>
      </w:r>
      <w:r>
        <w:t xml:space="preserve"> </w:t>
      </w:r>
      <w:r>
        <w:t xml:space="preserve">for the R Statistical Programming Language</w:t>
      </w:r>
      <w:r>
        <w:t xml:space="preserve"> </w:t>
      </w:r>
      <w:r>
        <w:t xml:space="preserve">(RDCT (R Development Core Team)</w:t>
      </w:r>
      <w:r>
        <w:t xml:space="preserve"> </w:t>
      </w:r>
      <w:hyperlink w:anchor="ref-RDCT18">
        <w:r>
          <w:rPr>
            <w:rStyle w:val="Hyperlink"/>
          </w:rPr>
          <w:t xml:space="preserve">2018</w:t>
        </w:r>
      </w:hyperlink>
      <w:r>
        <w:t xml:space="preserve">)</w:t>
      </w:r>
      <w:r>
        <w:t xml:space="preserve"> </w:t>
      </w:r>
      <w:r>
        <w:t xml:space="preserve">was used to develop the landscape model using the default settings, with the exception that out of bag estimates were used for model predictions.</w:t>
      </w:r>
    </w:p>
    <w:p>
      <w:pPr>
        <w:pStyle w:val="BodyText"/>
      </w:pPr>
      <w:r>
        <w:t xml:space="preserve">We stratified sample data to ensure sufficient representation of landscape gradients across major regions in the state (Figure</w:t>
      </w:r>
      <w:r>
        <w:t xml:space="preserve"> </w:t>
      </w:r>
      <w:r>
        <w:t xml:space="preserve">1</w:t>
      </w:r>
      <w:r>
        <w:t xml:space="preserve">). Calibration data for the landscape model were obtained from a random selection of 75% of segments with observed CSCI scores, where the selection was based on a random draw among sites that were grouped into quartiles defined by increasing watershed imperviousness relative to each region (n = 1965 segments). This ensured that the model was calibrated with data that covered the variation of landscape development between regions (i.e., regions with low development were not under-represented and those with high development were not over-represented).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observed and predicted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The classification process is described in Figure</w:t>
      </w:r>
      <w:r>
        <w:t xml:space="preserve"> </w:t>
      </w:r>
      <w:r>
        <w:t xml:space="preserve">3</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of expected CSCI scores for the level of landscape development at each segment. Stream segments with the range of CSCI score expectations entirely below the threshold were considered likely constrained, whereas those with expectations entirely above were considered likely unconstrained (Figure</w:t>
      </w:r>
      <w:r>
        <w:t xml:space="preserve"> </w:t>
      </w:r>
      <w:r>
        <w:t xml:space="preserve">3</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The influence of the key decision points on the extent of segment classifications created by the landscape model was evaluated. Stream segment classifications depend on the chosen range of score expectations (or certainty) from the landscape model (Figure</w:t>
      </w:r>
      <w:r>
        <w:t xml:space="preserve"> </w:t>
      </w:r>
      <w:r>
        <w:t xml:space="preserve">3</w:t>
      </w:r>
      <w:r>
        <w:t xml:space="preserve">b) and the CSCI threshold for evaluating the overlap extent (Figure</w:t>
      </w:r>
      <w:r>
        <w:t xml:space="preserve"> </w:t>
      </w:r>
      <w:r>
        <w:t xml:space="preserve">3</w:t>
      </w:r>
      <w:r>
        <w:t xml:space="preserve">c). For the certainty range, this interval does not describe statistical certainty in the traditional sense (e.g., confidence interval), but rather a desired range that is defined as a potentially acceptable lower and upper bound around the median prediction for a CSCI score given landscape development.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w:t>
      </w:r>
    </w:p>
    <w:p>
      <w:pPr>
        <w:pStyle w:val="BodyText"/>
      </w:pPr>
      <w:r>
        <w:t xml:space="preserve">Sites were further classified by comparing observed CSCI scores from biomonitoring data to the range of expected scores (Figure</w:t>
      </w:r>
      <w:r>
        <w:t xml:space="preserve"> </w:t>
      </w:r>
      <w:r>
        <w:t xml:space="preserve">3</w:t>
      </w:r>
      <w:r>
        <w:t xml:space="preserve">d).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site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Results from the statewide model were used to assign one of four constraint classes described above to every stream segment in the state. Although these classes defined an expectation of biological integrity relative to the landscape, they do not provide guidance on how sites could be managed given observed bioassessment scores relative to the modelled expectation. For example, managers may prioritize sites with bioassessment scores that are above the modelled expectation differently than those that are scoring within the ranges predicted by the model. Alternatively, a site scoring as expected in an unconstrained segment could be prioritized differently than a site scoring as expected in a constrained segment. The statewide model only provides landscape context for an observed score, whereas management priorities relative to modelled expectations must be separately defined.</w:t>
      </w:r>
    </w:p>
    <w:p>
      <w:pPr>
        <w:pStyle w:val="BodyText"/>
      </w:pPr>
      <w:r>
        <w:t xml:space="preserve">A regional application of the statewide results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w:t>
      </w:r>
      <w:r>
        <w:t xml:space="preserve"> </w:t>
      </w:r>
      <w:r>
        <w:t xml:space="preserve">4</w:t>
      </w:r>
      <w:r>
        <w:t xml:space="preserve">).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 (Table</w:t>
      </w:r>
      <w:r>
        <w:t xml:space="preserve"> </w:t>
      </w:r>
      <w:r>
        <w:t xml:space="preserve">3</w:t>
      </w:r>
      <w:r>
        <w:t xml:space="preserve">):</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S2, left side). The three priorities were then assigned a low, medium, or high importance for the scoring possibilities that could occur from the landscape model (Figure S2, right side).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 Table</w:t>
      </w:r>
      <w:r>
        <w:t xml:space="preserve"> </w:t>
      </w:r>
      <w:r>
        <w:t xml:space="preserve">3</w:t>
      </w:r>
      <w:r>
        <w:t xml:space="preserve"> </w:t>
      </w:r>
      <w:r>
        <w:t xml:space="preserve">shows examples of the priority recommendations and sites for which they applied.</w:t>
      </w:r>
    </w:p>
    <w:p>
      <w:pPr>
        <w:pStyle w:val="BodyText"/>
      </w:pPr>
      <w:r>
        <w:t xml:space="preserve">The outcomes of these assignments were visualized in an interactive and online application, the Stream Classification and Priority Explorer (SCAPE, Figure S3,</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4</w:t>
      </w:r>
      <w:r>
        <w:t xml:space="preserve">, Figure S4). Agreement between observed and predicted values for the entire calibration dataset was r = 0.75 (Pearson) and RMSE = 0.17. The intercept and slope for a regression between observed and predicted values were 0.04 and 0.93, suggesting minimal bias of predictions.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region) (Table</w:t>
      </w:r>
      <w:r>
        <w:t xml:space="preserve"> </w:t>
      </w:r>
      <w:r>
        <w:t xml:space="preserve">4</w:t>
      </w:r>
      <w:r>
        <w:t xml:space="preserve">, Figure S5).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0.66, 0.50, and 0.55 with observed values in the calibration dataset and 0.49, 0.55, and 0.55 in the validation dataset. Model performance was weakest for the Sierra Nevada region, where timber harvesting, rather than urban or agricultural development, is the most widespread stressor. A slight bias in model predictions was observed for the Central Valley and North Coast, where the former was over-predicted and the latter was under-predicted (Figure S4).</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5</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5</w:t>
      </w:r>
      <w:r>
        <w:t xml:space="preserve">). Likely unconstrained streams were common in the Sierra Nevada (50%), North Coast (46%), and Desert/Modoc (46%) regions, whereas likely constrained were relatively abundant in the Central Valley (22%) and South Coast (15%) regions. However, constrained and unconstrained streams were both found in every region (Figure</w:t>
      </w:r>
      <w:r>
        <w:t xml:space="preserve"> </w:t>
      </w:r>
      <w:r>
        <w:t xml:space="preserve">5</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6</w:t>
      </w:r>
      <w:r>
        <w:t xml:space="preserve">). Similar patterns were observed within regions, although a slightly larger percentage of sites in the Central Valley were under-scoring compared to the other regions, which may have been caused by a slight bias of over-predicting in this region. Over-scoring sites were slightly more common in certain regions (i.e., the South Coast and Sierra Nevada regions) than others (i.e., the Chaparral, Central Valley, and Desert/Modoc regions).</w:t>
      </w:r>
    </w:p>
    <w:p>
      <w:pPr>
        <w:pStyle w:val="BodyText"/>
      </w:pPr>
      <w:r>
        <w:t xml:space="preserve">Changing key decision points of the landscape model affected the estimates of the extent of streams in each class (Figure</w:t>
      </w:r>
      <w:r>
        <w:t xml:space="preserve"> </w:t>
      </w:r>
      <w:r>
        <w:t xml:space="preserve">6</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effects of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biological expectations consistent with the strong land use gradient in the watershed (Figure</w:t>
      </w:r>
      <w:r>
        <w:t xml:space="preserve"> </w:t>
      </w:r>
      <w:r>
        <w:t xml:space="preserve">7</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7</w:t>
      </w:r>
      <w:r>
        <w:t xml:space="preserve">b).</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S2, Table</w:t>
      </w:r>
      <w:r>
        <w:t xml:space="preserve"> </w:t>
      </w:r>
      <w:r>
        <w:t xml:space="preserve">3</w:t>
      </w:r>
      <w:r>
        <w:t xml:space="preserve">).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Managing for biological integrity requires the use of 1) assessment tools that can accurately evaluate condition, and 2) tools that can provide a landscape context for evaluating observed conditions. The landscape model was developed with these needs in mind to better inform application of the CSCI for decision-making relative to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The landscape model can inform the interpretation of biotic condition and is a decision-making tool that can help identify where management goals could be focused.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Management activities for biological integrity could involve the protection of sites meeting biological objectives or the restoration of sites that do not meet biological objectives. The selection of appropriate management actions for streams requires the consideration of the physical and chemical condition of streams concurrent with biological monitoring results. The landscape model can place observed scores in an appropriate context relative to their modeled condition within the landscape.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S2, site types 5, 9, 10, or 13), regulatory actions may be associated with protecting that condition and could be implemented in the short-term to prevent degradation. Moreover, additional actions could be recommended to determine why these sites score above the constrained expectations, such as causal assessments to identify site-specific characteristics contributing to biointegrity (e.g., intact physical habitat independent of landscape development). This flexibility is not intended to exclude sites from consideration that are less likely to achieve biological objectives, but rather to facilitate the decision-making process through a more transparent application of the model in a regulatory application. The landscape model could also support the development of Tiered Aquatic Life Uses (TALU,</w:t>
      </w:r>
      <w:r>
        <w:t xml:space="preserve"> </w:t>
      </w:r>
      <w:r>
        <w:t xml:space="preserve">Davies and Jackson (</w:t>
      </w:r>
      <w:hyperlink w:anchor="ref-Davies06">
        <w:r>
          <w:rPr>
            <w:rStyle w:val="Hyperlink"/>
          </w:rPr>
          <w:t xml:space="preserve">2006</w:t>
        </w:r>
      </w:hyperlink>
      <w:r>
        <w:t xml:space="preserve">)</w:t>
      </w:r>
      <w:r>
        <w:t xml:space="preserve">), such as identifying locations where tiered uses could apply. However, the model is not intended, nor is it is sufficient, as a standalone tool for defining tiered uses.</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in the regulatory sense,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expectation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landscape model is primarily an exploratory tool to help identify patterns among monitoring sites where more intensive analyses may be appropriate or assist with decisions of where alternative uses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characteristics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SCAPE application was also critical for demonstrating how results from the statewide model could be used at a regional scale. The application demonstrated core concepts of the model and allowed stakeholders to explore the key decision points that affect the model output, specifically related to changing certainties in the CSCI score predictions (e.g., 10th and 90th percentile predictions) and the ability to explore alternative thresholds for biological objectives (e.g., 10th percentile of reference scores that defined constraint classes).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information (i.e., Figure</w:t>
      </w:r>
      <w:r>
        <w:t xml:space="preserve"> </w:t>
      </w:r>
      <w:r>
        <w:t xml:space="preserve">7</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may be insufficient because constraints are more accurately defined relative to landscape development. As defined for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9</w:t>
      </w:r>
      <w:r>
        <w:t xml:space="preserve">). The CSCI score is 0.61 indicating degraded biological integrity, but the channel is not modified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for evaluating biological condition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relative information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Additional analyses that evaluate how different predictors influence model performance at different quantiles could provide insight into how landscape factors relate to constraints</w:t>
      </w:r>
      <w:r>
        <w:t xml:space="preserve"> </w:t>
      </w:r>
      <w:r>
        <w:t xml:space="preserve">(e.g., Koenker and Machado</w:t>
      </w:r>
      <w:r>
        <w:t xml:space="preserve"> </w:t>
      </w:r>
      <w:hyperlink w:anchor="ref-Koenker99">
        <w:r>
          <w:rPr>
            <w:rStyle w:val="Hyperlink"/>
          </w:rPr>
          <w:t xml:space="preserve">1999</w:t>
        </w:r>
      </w:hyperlink>
      <w:r>
        <w:t xml:space="preserve">)</w:t>
      </w:r>
      <w:r>
        <w:t xml:space="preserve">.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 More comprehensive assessments at individual sites may be needed to diagnose the immediate causes of degraded condition.</w:t>
      </w:r>
    </w:p>
    <w:p>
      <w:pPr>
        <w:pStyle w:val="BodyText"/>
      </w:pPr>
      <w:r>
        <w:t xml:space="preserve">An additional consideration in using the landscape model is the meaning of biologically constrained relative to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BodyText"/>
      </w:pPr>
      <w:r>
        <w:t xml:space="preserve">Finally, there are a few concerns applying a landscape modelling approach for bioassessment using the NHD-Plus flowlines as a base layer. We applied our model to the entire network of the NHD-Plus represented in StreamCat, which included a large number of intermittent or ephemeral streams, as well as non-wadeable rivers. Therefore, the application of model results in these stream-types is open to question, valid only to the degree that the CSCI and its response to landscape disturbance can represent more relevant measures of biological integrity. In regions where ephemeral streams are particularly common (e.g., the inland deserts or the South Coast region), estimates of the extent of constrained or unconstrained streams may be inaccurate.</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understanding landscape factors that might constrain each segment. The approach leverages information from multiple sources to develop a context for biological assessment that provides an expectation of what is likely to be achieved based on current land use development. This can facilitate more targeted management actions that vary depending on the landscape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Geospatial data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5022822"/>
            <wp:effectExtent b="0" l="0" r="0" t="0"/>
            <wp:docPr descr="Figure 2 Conceptualized response and management pathways captured by the landscape model under the Driver-Pressure-Stress-Impact-Response (DPSIR) framework (Smeets and Weterings 1999). Landscape predictors provided in StreamCat (Hill et al. 2017) were used to describe pressures from urban and agricultural development that could impact the macroinvertebrate community in streams by altering physical and chemical habitat. Biological response was measured using the CSCI (Mazor et al. 2016) 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 title="" id="1" name="Picture"/>
            <a:graphic>
              <a:graphicData uri="http://schemas.openxmlformats.org/drawingml/2006/picture">
                <pic:pic>
                  <pic:nvPicPr>
                    <pic:cNvPr descr="figs/dpsirfig.png" id="0" name="Picture"/>
                    <pic:cNvPicPr>
                      <a:picLocks noChangeArrowheads="1" noChangeAspect="1"/>
                    </pic:cNvPicPr>
                  </pic:nvPicPr>
                  <pic:blipFill>
                    <a:blip r:embed="rId51"/>
                    <a:stretch>
                      <a:fillRect/>
                    </a:stretch>
                  </pic:blipFill>
                  <pic:spPr bwMode="auto">
                    <a:xfrm>
                      <a:off x="0" y="0"/>
                      <a:ext cx="5943600" cy="5022822"/>
                    </a:xfrm>
                    <a:prstGeom prst="rect">
                      <a:avLst/>
                    </a:prstGeom>
                    <a:noFill/>
                    <a:ln w="9525">
                      <a:noFill/>
                      <a:headEnd/>
                      <a:tailEnd/>
                    </a:ln>
                  </pic:spPr>
                </pic:pic>
              </a:graphicData>
            </a:graphic>
          </wp:inline>
        </w:drawing>
      </w:r>
    </w:p>
    <w:p>
      <w:pPr>
        <w:pStyle w:val="ImageCaption"/>
      </w:pPr>
      <w:r>
        <w:t xml:space="preserve">Figure 2 Conceptualized response and management pathways captured by the landscape model under the Driver-Pressure-Stress-Impact-Response (DPSIR) framework</w:t>
      </w:r>
      <w:r>
        <w:t xml:space="preserve"> </w:t>
      </w:r>
      <w:r>
        <w:t xml:space="preserve">(Smeets and Weterings</w:t>
      </w:r>
      <w:r>
        <w:t xml:space="preserve"> </w:t>
      </w:r>
      <w:hyperlink w:anchor="ref-Smeets99">
        <w:r>
          <w:rPr>
            <w:rStyle w:val="Hyperlink"/>
          </w:rPr>
          <w:t xml:space="preserve">1999</w:t>
        </w:r>
      </w:hyperlink>
      <w:r>
        <w:t xml:space="preserve">)</w:t>
      </w:r>
      <w:r>
        <w:t xml:space="preserve">. Landscape predictors provided in StreamCat</w:t>
      </w:r>
      <w:r>
        <w:t xml:space="preserve"> </w:t>
      </w:r>
      <w:r>
        <w:t xml:space="preserve">(Hill et al.</w:t>
      </w:r>
      <w:r>
        <w:t xml:space="preserve"> </w:t>
      </w:r>
      <w:hyperlink w:anchor="ref-Hill17">
        <w:r>
          <w:rPr>
            <w:rStyle w:val="Hyperlink"/>
          </w:rPr>
          <w:t xml:space="preserve">2017</w:t>
        </w:r>
      </w:hyperlink>
      <w:r>
        <w:t xml:space="preserve">)</w:t>
      </w:r>
      <w:r>
        <w:t xml:space="preserve"> </w:t>
      </w:r>
      <w:r>
        <w:t xml:space="preserve">were used to describe pressures from urban and agricultural development that could impact the macroinvertebrate community in streams by altering physical and chemical habitat. Biological response was measured using the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as an impact indicator and then evaluated relative to ranges of CSCI scores that were expected at each site provided by the landscape model. Observed CSCI scores and context from the landscape model provide a basis for informing management actions that could address environmental impacts at different points in the response pathway, where the management pathway could address causes at different scales and efficiencies.</w:t>
      </w:r>
    </w:p>
    <w:p>
      <w:pPr>
        <w:pStyle w:val="CaptionedFigure"/>
      </w:pPr>
      <w:r>
        <w:drawing>
          <wp:inline>
            <wp:extent cx="5943600" cy="4754880"/>
            <wp:effectExtent b="0" l="0" r="0" t="0"/>
            <wp:docPr descr="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5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4"/>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5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6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5"/>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6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7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6"/>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 3)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7"/>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S2, Table</w:t>
      </w:r>
      <w:r>
        <w:t xml:space="preserve"> </w:t>
      </w:r>
      <w:r>
        <w:t xml:space="preserve">3</w:t>
      </w:r>
      <w:r>
        <w:t xml:space="preserve">)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8"/>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9" w:name="tables"/>
      <w:r>
        <w:t xml:space="preserve">Tables</w:t>
      </w:r>
      <w:bookmarkEnd w:id="59"/>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w:t>
      </w:r>
    </w:p>
    <w:tbl>
      <w:tblPr>
        <w:tblStyle w:val="Table"/>
        <w:tblW w:type="pct" w:w="0.0"/>
        <w:tblLook w:firstRow="1"/>
        <w:tblCaption w:val="Table 3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 S2).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TableCaption"/>
      </w:pPr>
      <w:r>
        <w:t xml:space="preserve">Table 4 Performance of the landscape model by calibration (Cal) and validation (Val) datasets in predicting CSCI scores. The statewide dataset (Figure</w:t>
      </w:r>
      <w:r>
        <w:t xml:space="preserve"> </w:t>
      </w:r>
      <w:r>
        <w:t xml:space="preserve">5</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4 Performance of the landscape model by calibration (Cal) and validation (Val) datasets in predicting CSCI scores. The statewide dataset (Figure 5)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0.04</w:t>
            </w:r>
          </w:p>
        </w:tc>
        <w:tc>
          <w:p>
            <w:pPr>
              <w:pStyle w:val="Compact"/>
              <w:jc w:val="left"/>
            </w:pPr>
            <w:r>
              <w:t xml:space="preserve">0.93</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0.03</w:t>
            </w:r>
          </w:p>
        </w:tc>
        <w:tc>
          <w:p>
            <w:pPr>
              <w:pStyle w:val="Compact"/>
              <w:jc w:val="left"/>
            </w:pPr>
            <w:r>
              <w:t xml:space="preserve">0.92</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0.05</w:t>
            </w:r>
          </w:p>
        </w:tc>
        <w:tc>
          <w:p>
            <w:pPr>
              <w:pStyle w:val="Compact"/>
              <w:jc w:val="left"/>
            </w:pPr>
            <w:r>
              <w:t xml:space="preserve">0.81</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0.15</w:t>
            </w:r>
          </w:p>
        </w:tc>
        <w:tc>
          <w:p>
            <w:pPr>
              <w:pStyle w:val="Compact"/>
              <w:jc w:val="left"/>
            </w:pPr>
            <w:r>
              <w:t xml:space="preserve">0.79</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0.12</w:t>
            </w:r>
          </w:p>
        </w:tc>
        <w:tc>
          <w:p>
            <w:pPr>
              <w:pStyle w:val="Compact"/>
              <w:jc w:val="left"/>
            </w:pPr>
            <w:r>
              <w:t xml:space="preserve">0.86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0.11</w:t>
            </w:r>
          </w:p>
        </w:tc>
        <w:tc>
          <w:p>
            <w:pPr>
              <w:pStyle w:val="Compact"/>
              <w:jc w:val="left"/>
            </w:pPr>
            <w:r>
              <w:t xml:space="preserve">0.87</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0.12</w:t>
            </w:r>
          </w:p>
        </w:tc>
        <w:tc>
          <w:p>
            <w:pPr>
              <w:pStyle w:val="Compact"/>
              <w:jc w:val="left"/>
            </w:pPr>
            <w:r>
              <w:t xml:space="preserve">0.88</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0.07</w:t>
            </w:r>
          </w:p>
        </w:tc>
        <w:tc>
          <w:p>
            <w:pPr>
              <w:pStyle w:val="Compact"/>
              <w:jc w:val="left"/>
            </w:pPr>
            <w:r>
              <w:t xml:space="preserve">0.90</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-0.04</w:t>
            </w:r>
          </w:p>
        </w:tc>
        <w:tc>
          <w:p>
            <w:pPr>
              <w:pStyle w:val="Compact"/>
              <w:jc w:val="left"/>
            </w:pPr>
            <w:r>
              <w:t xml:space="preserve">0.98</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0.16</w:t>
            </w:r>
          </w:p>
        </w:tc>
        <w:tc>
          <w:p>
            <w:pPr>
              <w:pStyle w:val="Compact"/>
              <w:jc w:val="left"/>
            </w:pPr>
            <w:r>
              <w:t xml:space="preserve">0.60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0.07</w:t>
            </w:r>
          </w:p>
        </w:tc>
        <w:tc>
          <w:p>
            <w:pPr>
              <w:pStyle w:val="Compact"/>
              <w:jc w:val="left"/>
            </w:pPr>
            <w:r>
              <w:t xml:space="preserve">0.83</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0.00</w:t>
            </w:r>
          </w:p>
        </w:tc>
        <w:tc>
          <w:p>
            <w:pPr>
              <w:pStyle w:val="Compact"/>
              <w:jc w:val="left"/>
            </w:pPr>
            <w:r>
              <w:t xml:space="preserve">0.98</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0.17</w:t>
            </w:r>
          </w:p>
        </w:tc>
        <w:tc>
          <w:p>
            <w:pPr>
              <w:pStyle w:val="Compact"/>
              <w:jc w:val="left"/>
            </w:pPr>
            <w:r>
              <w:t xml:space="preserve">0.81</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0.57</w:t>
            </w:r>
          </w:p>
        </w:tc>
        <w:tc>
          <w:p>
            <w:pPr>
              <w:pStyle w:val="Compact"/>
              <w:jc w:val="left"/>
            </w:pPr>
            <w:r>
              <w:t xml:space="preserve">0.41</w:t>
            </w:r>
          </w:p>
        </w:tc>
      </w:tr>
    </w:tbl>
    <w:p>
      <w:pPr>
        <w:pStyle w:val="BodyText"/>
      </w:pPr>
      <w:r>
        <w:rPr>
          <w:i/>
        </w:rPr>
        <w:t xml:space="preserve">Table</w:t>
      </w:r>
      <w:r>
        <w:rPr>
          <w:i/>
        </w:rPr>
        <w:t xml:space="preserve"> </w:t>
      </w:r>
      <w:r>
        <w:rPr>
          <w:i/>
        </w:rPr>
        <w:t xml:space="preserve">5</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5</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cantSplit/>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cantSplit/>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6</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5</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cantSplit/>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cantSplit/>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cantSplit/>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60" w:name="references"/>
      <w:r>
        <w:t xml:space="preserve">References</w:t>
      </w:r>
      <w:bookmarkEnd w:id="60"/>
    </w:p>
    <w:bookmarkStart w:id="192" w:name="refs"/>
    <w:bookmarkStart w:id="62"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1">
        <w:r>
          <w:rPr>
            <w:rStyle w:val="Hyperlink"/>
          </w:rPr>
          <w:t xml:space="preserve">https://doi.org/10.1046/j.1365-2427.1997.d01-546.x</w:t>
        </w:r>
      </w:hyperlink>
      <w:r>
        <w:t xml:space="preserve">.</w:t>
      </w:r>
    </w:p>
    <w:bookmarkEnd w:id="62"/>
    <w:bookmarkStart w:id="64"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3">
        <w:r>
          <w:rPr>
            <w:rStyle w:val="Hyperlink"/>
          </w:rPr>
          <w:t xml:space="preserve">https://doi.org/10.1111/j.1365-2427.2006.01685.x</w:t>
        </w:r>
      </w:hyperlink>
      <w:r>
        <w:t xml:space="preserve">.</w:t>
      </w:r>
    </w:p>
    <w:bookmarkEnd w:id="64"/>
    <w:bookmarkStart w:id="65" w:name="ref-Beck18d"/>
    <w:p>
      <w:pPr>
        <w:pStyle w:val="Bibliography"/>
      </w:pPr>
      <w:r>
        <w:t xml:space="preserve">Beck, M. W. 2018a. “Constrained streams for biological integrity in California. Knowledge Network for Biocomplexity. urn:uuid:75411f50-32ed-42a5-bbfd-26833c7a441f.”</w:t>
      </w:r>
    </w:p>
    <w:bookmarkEnd w:id="65"/>
    <w:bookmarkStart w:id="67" w:name="ref-Beck18c"/>
    <w:p>
      <w:pPr>
        <w:pStyle w:val="Bibliography"/>
      </w:pPr>
      <w:r>
        <w:t xml:space="preserve">———. 2018b. “SCCWRP/SCAPE: v1.0 (Version 1.0). Zenodo,</w:t>
      </w:r>
      <w:r>
        <w:t xml:space="preserve"> </w:t>
      </w:r>
      <w:hyperlink r:id="rId66">
        <w:r>
          <w:rPr>
            <w:rStyle w:val="Hyperlink"/>
          </w:rPr>
          <w:t xml:space="preserve">http://doi.org/10.5281/zenodo.1218121</w:t>
        </w:r>
      </w:hyperlink>
      <w:r>
        <w:t xml:space="preserve">.”</w:t>
      </w:r>
    </w:p>
    <w:bookmarkEnd w:id="67"/>
    <w:bookmarkStart w:id="69"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8">
        <w:r>
          <w:rPr>
            <w:rStyle w:val="Hyperlink"/>
          </w:rPr>
          <w:t xml:space="preserve">https://doi.org/10.1577/M06-174.1</w:t>
        </w:r>
      </w:hyperlink>
      <w:r>
        <w:t xml:space="preserve">.</w:t>
      </w:r>
    </w:p>
    <w:bookmarkEnd w:id="69"/>
    <w:bookmarkStart w:id="71"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70">
        <w:r>
          <w:rPr>
            <w:rStyle w:val="Hyperlink"/>
          </w:rPr>
          <w:t xml:space="preserve">https://doi.org/10.1111/j.1526-100X.2007.00244.x</w:t>
        </w:r>
      </w:hyperlink>
      <w:r>
        <w:t xml:space="preserve">.</w:t>
      </w:r>
    </w:p>
    <w:bookmarkEnd w:id="71"/>
    <w:bookmarkStart w:id="73"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2">
        <w:r>
          <w:rPr>
            <w:rStyle w:val="Hyperlink"/>
          </w:rPr>
          <w:t xml:space="preserve">https://www.waterboards.ca.gov/sandiego/water_issues/programs/303d_list/docs/Staff_Report_101216.pdf</w:t>
        </w:r>
      </w:hyperlink>
      <w:r>
        <w:t xml:space="preserve">.</w:t>
      </w:r>
    </w:p>
    <w:bookmarkEnd w:id="73"/>
    <w:bookmarkStart w:id="74"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4"/>
    <w:bookmarkStart w:id="76"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5">
        <w:r>
          <w:rPr>
            <w:rStyle w:val="Hyperlink"/>
          </w:rPr>
          <w:t xml:space="preserve">https://doi.org/10.1177/0739456X03022004007</w:t>
        </w:r>
      </w:hyperlink>
      <w:r>
        <w:t xml:space="preserve">.</w:t>
      </w:r>
    </w:p>
    <w:bookmarkEnd w:id="76"/>
    <w:bookmarkStart w:id="78"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7">
        <w:r>
          <w:rPr>
            <w:rStyle w:val="Hyperlink"/>
          </w:rPr>
          <w:t xml:space="preserve">https://doi.org/10.1899/08-153.1</w:t>
        </w:r>
      </w:hyperlink>
      <w:r>
        <w:t xml:space="preserve">.</w:t>
      </w:r>
    </w:p>
    <w:bookmarkEnd w:id="78"/>
    <w:bookmarkStart w:id="80"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9">
        <w:r>
          <w:rPr>
            <w:rStyle w:val="Hyperlink"/>
          </w:rPr>
          <w:t xml:space="preserve">https://doi.org/10.1016/j.landurbplan.2012.07.009</w:t>
        </w:r>
      </w:hyperlink>
      <w:r>
        <w:t xml:space="preserve">.</w:t>
      </w:r>
    </w:p>
    <w:bookmarkEnd w:id="80"/>
    <w:bookmarkStart w:id="82"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1">
        <w:r>
          <w:rPr>
            <w:rStyle w:val="Hyperlink"/>
          </w:rPr>
          <w:t xml:space="preserve">https://doi.org/10.1007/s10661-014-4132-8</w:t>
        </w:r>
      </w:hyperlink>
      <w:r>
        <w:t xml:space="preserve">.</w:t>
      </w:r>
    </w:p>
    <w:bookmarkEnd w:id="82"/>
    <w:bookmarkStart w:id="83"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3"/>
    <w:bookmarkStart w:id="85"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4">
        <w:r>
          <w:rPr>
            <w:rStyle w:val="Hyperlink"/>
          </w:rPr>
          <w:t xml:space="preserve">https://doi.org/10.1899/06-078.1</w:t>
        </w:r>
      </w:hyperlink>
      <w:r>
        <w:t xml:space="preserve">.</w:t>
      </w:r>
    </w:p>
    <w:bookmarkEnd w:id="85"/>
    <w:bookmarkStart w:id="87"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6">
        <w:r>
          <w:rPr>
            <w:rStyle w:val="Hyperlink"/>
          </w:rPr>
          <w:t xml:space="preserve">https://doi.org/10.1111/j.1526-100X.2007.00285.x</w:t>
        </w:r>
      </w:hyperlink>
      <w:r>
        <w:t xml:space="preserve">.</w:t>
      </w:r>
    </w:p>
    <w:bookmarkEnd w:id="87"/>
    <w:bookmarkStart w:id="89"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8">
        <w:r>
          <w:rPr>
            <w:rStyle w:val="Hyperlink"/>
          </w:rPr>
          <w:t xml:space="preserve">https://doi.org/10.1007/s10661-008-0256-z</w:t>
        </w:r>
      </w:hyperlink>
      <w:r>
        <w:t xml:space="preserve">.</w:t>
      </w:r>
    </w:p>
    <w:bookmarkEnd w:id="89"/>
    <w:bookmarkStart w:id="91"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90">
        <w:r>
          <w:rPr>
            <w:rStyle w:val="Hyperlink"/>
          </w:rPr>
          <w:t xml:space="preserve">https://doi.org/10.1016/j.ecolind.2013.07.006</w:t>
        </w:r>
      </w:hyperlink>
      <w:r>
        <w:t xml:space="preserve">.</w:t>
      </w:r>
    </w:p>
    <w:bookmarkEnd w:id="91"/>
    <w:bookmarkStart w:id="93"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2">
        <w:r>
          <w:rPr>
            <w:rStyle w:val="Hyperlink"/>
          </w:rPr>
          <w:t xml:space="preserve">https://doi.org/10.1086/678701</w:t>
        </w:r>
      </w:hyperlink>
      <w:r>
        <w:t xml:space="preserve">.</w:t>
      </w:r>
    </w:p>
    <w:bookmarkEnd w:id="93"/>
    <w:bookmarkStart w:id="95"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4">
        <w:r>
          <w:rPr>
            <w:rStyle w:val="Hyperlink"/>
          </w:rPr>
          <w:t xml:space="preserve">https://doi.org/10.1002/rra.1053</w:t>
        </w:r>
      </w:hyperlink>
      <w:r>
        <w:t xml:space="preserve">.</w:t>
      </w:r>
    </w:p>
    <w:bookmarkEnd w:id="95"/>
    <w:bookmarkStart w:id="97"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6">
        <w:r>
          <w:rPr>
            <w:rStyle w:val="Hyperlink"/>
          </w:rPr>
          <w:t xml:space="preserve">https://doi.org/10.1899/0887-3593(2004)023%3C0599:BWRSUO%3E2.0.CO;2</w:t>
        </w:r>
      </w:hyperlink>
      <w:r>
        <w:t xml:space="preserve">.</w:t>
      </w:r>
    </w:p>
    <w:bookmarkEnd w:id="97"/>
    <w:bookmarkStart w:id="9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8">
        <w:r>
          <w:rPr>
            <w:rStyle w:val="Hyperlink"/>
          </w:rPr>
          <w:t xml:space="preserve">https://doi.org/10.1111/j.1365-2427.2011.02696.x</w:t>
        </w:r>
      </w:hyperlink>
      <w:r>
        <w:t xml:space="preserve">.</w:t>
      </w:r>
    </w:p>
    <w:bookmarkEnd w:id="99"/>
    <w:bookmarkStart w:id="101"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100">
        <w:r>
          <w:rPr>
            <w:rStyle w:val="Hyperlink"/>
          </w:rPr>
          <w:t xml:space="preserve">https://doi.org/10.2307/41416699</w:t>
        </w:r>
      </w:hyperlink>
      <w:r>
        <w:t xml:space="preserve">.</w:t>
      </w:r>
    </w:p>
    <w:bookmarkEnd w:id="101"/>
    <w:bookmarkStart w:id="102"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2"/>
    <w:bookmarkStart w:id="104"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3">
        <w:r>
          <w:rPr>
            <w:rStyle w:val="Hyperlink"/>
          </w:rPr>
          <w:t xml:space="preserve">https://doi.org/10.1038/sdata.2015.73</w:t>
        </w:r>
      </w:hyperlink>
      <w:r>
        <w:t xml:space="preserve">.</w:t>
      </w:r>
    </w:p>
    <w:bookmarkEnd w:id="104"/>
    <w:bookmarkStart w:id="105" w:name="ref-ESRI16"/>
    <w:p>
      <w:pPr>
        <w:pStyle w:val="Bibliography"/>
      </w:pPr>
      <w:r>
        <w:t xml:space="preserve">ESRI (Environmental Systems Research Institute). 2016. “ArcGIS v10.5.”</w:t>
      </w:r>
    </w:p>
    <w:bookmarkEnd w:id="105"/>
    <w:bookmarkStart w:id="107"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6">
        <w:r>
          <w:rPr>
            <w:rStyle w:val="Hyperlink"/>
          </w:rPr>
          <w:t xml:space="preserve">https://doi.org/10.1111/j.1752-1688.2000.tb05717.x</w:t>
        </w:r>
      </w:hyperlink>
      <w:r>
        <w:t xml:space="preserve">.</w:t>
      </w:r>
    </w:p>
    <w:bookmarkEnd w:id="107"/>
    <w:bookmarkStart w:id="108"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8"/>
    <w:bookmarkStart w:id="110"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9">
        <w:r>
          <w:rPr>
            <w:rStyle w:val="Hyperlink"/>
          </w:rPr>
          <w:t xml:space="preserve">https://doi.org/10.1007/s10661-017-6025-0</w:t>
        </w:r>
      </w:hyperlink>
      <w:r>
        <w:t xml:space="preserve">.</w:t>
      </w:r>
    </w:p>
    <w:bookmarkEnd w:id="110"/>
    <w:bookmarkStart w:id="111"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1"/>
    <w:bookmarkStart w:id="112"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2"/>
    <w:bookmarkStart w:id="114"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3">
        <w:r>
          <w:rPr>
            <w:rStyle w:val="Hyperlink"/>
          </w:rPr>
          <w:t xml:space="preserve">https://doi.org/10.1002/eap.1617</w:t>
        </w:r>
      </w:hyperlink>
      <w:r>
        <w:t xml:space="preserve">.</w:t>
      </w:r>
    </w:p>
    <w:bookmarkEnd w:id="114"/>
    <w:bookmarkStart w:id="11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5">
        <w:r>
          <w:rPr>
            <w:rStyle w:val="Hyperlink"/>
          </w:rPr>
          <w:t xml:space="preserve">https://doi.org/10.1111/1752-1688.12372</w:t>
        </w:r>
      </w:hyperlink>
      <w:r>
        <w:t xml:space="preserve">.</w:t>
      </w:r>
    </w:p>
    <w:bookmarkEnd w:id="116"/>
    <w:bookmarkStart w:id="118"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7">
        <w:r>
          <w:rPr>
            <w:rStyle w:val="Hyperlink"/>
          </w:rPr>
          <w:t xml:space="preserve">https://doi.org/10.1086/697996</w:t>
        </w:r>
      </w:hyperlink>
      <w:r>
        <w:t xml:space="preserve">.</w:t>
      </w:r>
    </w:p>
    <w:bookmarkEnd w:id="118"/>
    <w:bookmarkStart w:id="120"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9">
        <w:r>
          <w:rPr>
            <w:rStyle w:val="Hyperlink"/>
          </w:rPr>
          <w:t xml:space="preserve">https://doi.org/10.1080/03680770.1974.11896033</w:t>
        </w:r>
      </w:hyperlink>
      <w:r>
        <w:t xml:space="preserve">.</w:t>
      </w:r>
    </w:p>
    <w:bookmarkEnd w:id="120"/>
    <w:bookmarkStart w:id="122"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1">
        <w:r>
          <w:rPr>
            <w:rStyle w:val="Hyperlink"/>
          </w:rPr>
          <w:t xml:space="preserve">https://doi.org/10.1046/j.1365-2427.1997.d01-539.x</w:t>
        </w:r>
      </w:hyperlink>
      <w:r>
        <w:t xml:space="preserve">.</w:t>
      </w:r>
    </w:p>
    <w:bookmarkEnd w:id="122"/>
    <w:bookmarkStart w:id="123"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3"/>
    <w:bookmarkStart w:id="125"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4">
        <w:r>
          <w:rPr>
            <w:rStyle w:val="Hyperlink"/>
          </w:rPr>
          <w:t xml:space="preserve">https://doi.org/10.1111/j.1752-1688.2011.00635.x</w:t>
        </w:r>
      </w:hyperlink>
      <w:r>
        <w:t xml:space="preserve">.</w:t>
      </w:r>
    </w:p>
    <w:bookmarkEnd w:id="125"/>
    <w:bookmarkStart w:id="126" w:name="ref-Koenker99"/>
    <w:p>
      <w:pPr>
        <w:pStyle w:val="Bibliography"/>
      </w:pPr>
      <w:r>
        <w:t xml:space="preserve">Koenker, R., and J. A. F. Machado. 1999. “Goodness of Fit and Related Inference Processes for Quantile Regression.”</w:t>
      </w:r>
      <w:r>
        <w:t xml:space="preserve"> </w:t>
      </w:r>
      <w:r>
        <w:rPr>
          <w:i/>
        </w:rPr>
        <w:t xml:space="preserve">Journal of the American Statistical Association</w:t>
      </w:r>
      <w:r>
        <w:t xml:space="preserve"> </w:t>
      </w:r>
      <w:r>
        <w:t xml:space="preserve">94 (448):1296–1310.</w:t>
      </w:r>
    </w:p>
    <w:bookmarkEnd w:id="126"/>
    <w:bookmarkStart w:id="128"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7">
        <w:r>
          <w:rPr>
            <w:rStyle w:val="Hyperlink"/>
          </w:rPr>
          <w:t xml:space="preserve">https://doi.org/10.1007%2Fs00267-008-9151-1</w:t>
        </w:r>
      </w:hyperlink>
      <w:r>
        <w:t xml:space="preserve">.</w:t>
      </w:r>
    </w:p>
    <w:bookmarkEnd w:id="128"/>
    <w:bookmarkStart w:id="130"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9">
        <w:r>
          <w:rPr>
            <w:rStyle w:val="Hyperlink"/>
          </w:rPr>
          <w:t xml:space="preserve">https://doi.org/10.3368/er.34.2.124</w:t>
        </w:r>
      </w:hyperlink>
      <w:r>
        <w:t xml:space="preserve">.</w:t>
      </w:r>
    </w:p>
    <w:bookmarkEnd w:id="130"/>
    <w:bookmarkStart w:id="131" w:name="ref-Mazor15"/>
    <w:p>
      <w:pPr>
        <w:pStyle w:val="Bibliography"/>
      </w:pPr>
      <w:r>
        <w:t xml:space="preserve">Mazor, R. D. 2015. “Bioassessment of Perennial Streams in Southern California: A Report on the First Five Years of the Stormwater Monitoring Coalitions’s Regional Stream Survey.” 844. Costa Mesa, California: Southern California Coastal Water Research Project.</w:t>
      </w:r>
    </w:p>
    <w:bookmarkEnd w:id="131"/>
    <w:bookmarkStart w:id="132" w:name="ref-Mazor18"/>
    <w:p>
      <w:pPr>
        <w:pStyle w:val="Bibliography"/>
      </w:pPr>
      <w:r>
        <w:t xml:space="preserve">Mazor, R. D., M. W. Beck, and J. Brown. 2018. “2017 Report on the SMC Regional Stream Survey.” 1029. Costa Mesa, California: Southern California Coastal Water Research Project.</w:t>
      </w:r>
    </w:p>
    <w:bookmarkEnd w:id="132"/>
    <w:bookmarkStart w:id="13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3"/>
    <w:bookmarkStart w:id="135" w:name="ref-Mazor14"/>
    <w:p>
      <w:pPr>
        <w:pStyle w:val="Bibliography"/>
      </w:pPr>
      <w:r>
        <w:t xml:space="preserve">Mazor, R. D., E. D. Stein, P. R. Ode, and K. Schiff. 2014. “Integrating Intermittent Streams into Watershed Assessments: Applicability of an Index of Biotic Integrity.”</w:t>
      </w:r>
      <w:r>
        <w:t xml:space="preserve"> </w:t>
      </w:r>
      <w:r>
        <w:rPr>
          <w:i/>
        </w:rPr>
        <w:t xml:space="preserve">Freshwater Science</w:t>
      </w:r>
      <w:r>
        <w:t xml:space="preserve"> </w:t>
      </w:r>
      <w:r>
        <w:t xml:space="preserve">35 (2):459–74.</w:t>
      </w:r>
      <w:r>
        <w:t xml:space="preserve"> </w:t>
      </w:r>
      <w:hyperlink r:id="rId134">
        <w:r>
          <w:rPr>
            <w:rStyle w:val="Hyperlink"/>
          </w:rPr>
          <w:t xml:space="preserve">https://doi.org/10.1086/675683</w:t>
        </w:r>
      </w:hyperlink>
      <w:r>
        <w:t xml:space="preserve">.</w:t>
      </w:r>
    </w:p>
    <w:bookmarkEnd w:id="135"/>
    <w:bookmarkStart w:id="136" w:name="ref-McKay12"/>
    <w:p>
      <w:pPr>
        <w:pStyle w:val="Bibliography"/>
      </w:pPr>
      <w:r>
        <w:t xml:space="preserve">McKay, L., T. Bondelid, T. Dewald, J. Johnston, R. Moore, and A. Reah. 2012. “NHDPlus Version 2: User Guide.”</w:t>
      </w:r>
    </w:p>
    <w:bookmarkEnd w:id="136"/>
    <w:bookmarkStart w:id="137"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7"/>
    <w:bookmarkStart w:id="139"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8">
        <w:r>
          <w:rPr>
            <w:rStyle w:val="Hyperlink"/>
          </w:rPr>
          <w:t xml:space="preserve">https://CRAN.R-project.org/package=quantregForest</w:t>
        </w:r>
      </w:hyperlink>
      <w:r>
        <w:t xml:space="preserve">.</w:t>
      </w:r>
    </w:p>
    <w:bookmarkEnd w:id="139"/>
    <w:bookmarkStart w:id="140"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40"/>
    <w:bookmarkStart w:id="141"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41"/>
    <w:bookmarkStart w:id="143"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42">
        <w:r>
          <w:rPr>
            <w:rStyle w:val="Hyperlink"/>
          </w:rPr>
          <w:t xml:space="preserve">https://doi.org/10.1111/j.1365-2427.1987.tb01027.x</w:t>
        </w:r>
      </w:hyperlink>
      <w:r>
        <w:t xml:space="preserve">.</w:t>
      </w:r>
    </w:p>
    <w:bookmarkEnd w:id="143"/>
    <w:bookmarkStart w:id="145"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44">
        <w:r>
          <w:rPr>
            <w:rStyle w:val="Hyperlink"/>
          </w:rPr>
          <w:t xml:space="preserve">https://doi.org/10.1002/aqc.1010</w:t>
        </w:r>
      </w:hyperlink>
      <w:r>
        <w:t xml:space="preserve">.</w:t>
      </w:r>
    </w:p>
    <w:bookmarkEnd w:id="145"/>
    <w:bookmarkStart w:id="147"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46">
        <w:r>
          <w:rPr>
            <w:rStyle w:val="Hyperlink"/>
          </w:rPr>
          <w:t xml:space="preserve">https://www.waterboards.ca.gov/water_issues/programs/swamp/bioassessment/docs/combined_sop_2016.pdf</w:t>
        </w:r>
      </w:hyperlink>
      <w:r>
        <w:t xml:space="preserve">.</w:t>
      </w:r>
    </w:p>
    <w:bookmarkEnd w:id="147"/>
    <w:bookmarkStart w:id="149"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8">
        <w:r>
          <w:rPr>
            <w:rStyle w:val="Hyperlink"/>
          </w:rPr>
          <w:t xml:space="preserve">https://www.waterboards.ca.gov/water_issues/programs/swamp/docs/reports/psa_smmry_rpt.pdf</w:t>
        </w:r>
      </w:hyperlink>
      <w:r>
        <w:t xml:space="preserve">.</w:t>
      </w:r>
    </w:p>
    <w:bookmarkEnd w:id="149"/>
    <w:bookmarkStart w:id="150"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50"/>
    <w:bookmarkStart w:id="152"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51">
        <w:r>
          <w:rPr>
            <w:rStyle w:val="Hyperlink"/>
          </w:rPr>
          <w:t xml:space="preserve">https://doi.org/10.1111/j.1752-1688.2008.00280.x</w:t>
        </w:r>
      </w:hyperlink>
      <w:r>
        <w:t xml:space="preserve">.</w:t>
      </w:r>
    </w:p>
    <w:bookmarkEnd w:id="152"/>
    <w:bookmarkStart w:id="154"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53">
        <w:r>
          <w:rPr>
            <w:rStyle w:val="Hyperlink"/>
          </w:rPr>
          <w:t xml:space="preserve">https://doi.org/10.1016/j.foreco.2008.07.041</w:t>
        </w:r>
      </w:hyperlink>
      <w:r>
        <w:t xml:space="preserve">.</w:t>
      </w:r>
    </w:p>
    <w:bookmarkEnd w:id="154"/>
    <w:bookmarkStart w:id="155" w:name="ref-RDCT18"/>
    <w:p>
      <w:pPr>
        <w:pStyle w:val="Bibliography"/>
      </w:pPr>
      <w:r>
        <w:t xml:space="preserve">RDCT (R Development Core Team). 2018. “R: A language and environment for statistical computing, v3.5.1. R Foundation for Statistical Computing, Vienna, Austria.”</w:t>
      </w:r>
    </w:p>
    <w:bookmarkEnd w:id="155"/>
    <w:bookmarkStart w:id="157"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56">
        <w:r>
          <w:rPr>
            <w:rStyle w:val="Hyperlink"/>
          </w:rPr>
          <w:t xml:space="preserve">https://doi.org/10.1016/j.biocon.2008.07.014</w:t>
        </w:r>
      </w:hyperlink>
      <w:r>
        <w:t xml:space="preserve">.</w:t>
      </w:r>
    </w:p>
    <w:bookmarkEnd w:id="157"/>
    <w:bookmarkStart w:id="159" w:name="ref-Rehn15"/>
    <w:p>
      <w:pPr>
        <w:pStyle w:val="Bibliography"/>
      </w:pPr>
      <w:r>
        <w:t xml:space="preserve">Rehn, A. C. 2015. “The Perennial Streams Assessment (Psa): An Assessment of Biological Condition Using the New California Stream Condition Index (CSCI).” SWAMP Management Memorandum, SWAMP-MM-2015-0001. Sacramento, California: California State Water Resources Control Board Surface Water Ambient Monitoring Program.</w:t>
      </w:r>
      <w:r>
        <w:t xml:space="preserve"> </w:t>
      </w:r>
      <w:hyperlink r:id="rId158">
        <w:r>
          <w:rPr>
            <w:rStyle w:val="Hyperlink"/>
          </w:rPr>
          <w:t xml:space="preserve">https://www.waterboards.ca.gov/water_issues/programs/swamp/bioassessment/docs/psa_memo_121015.pdf</w:t>
        </w:r>
      </w:hyperlink>
      <w:r>
        <w:t xml:space="preserve">.</w:t>
      </w:r>
    </w:p>
    <w:bookmarkEnd w:id="159"/>
    <w:bookmarkStart w:id="161"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60">
        <w:r>
          <w:rPr>
            <w:rStyle w:val="Hyperlink"/>
          </w:rPr>
          <w:t xml:space="preserve">https://www.waterboards.ca.gov/water_issues/programs/swamp/bioassessment/docs/physical_habitat_index_technical_memo.pdf</w:t>
        </w:r>
      </w:hyperlink>
      <w:r>
        <w:t xml:space="preserve">.</w:t>
      </w:r>
    </w:p>
    <w:bookmarkEnd w:id="161"/>
    <w:bookmarkStart w:id="163"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62">
        <w:r>
          <w:rPr>
            <w:rStyle w:val="Hyperlink"/>
          </w:rPr>
          <w:t xml:space="preserve">https://doi.org/10.2307/1468175</w:t>
        </w:r>
      </w:hyperlink>
      <w:r>
        <w:t xml:space="preserve">.</w:t>
      </w:r>
    </w:p>
    <w:bookmarkEnd w:id="163"/>
    <w:bookmarkStart w:id="165"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64">
        <w:r>
          <w:rPr>
            <w:rStyle w:val="Hyperlink"/>
          </w:rPr>
          <w:t xml:space="preserve">https://doi.org/10.1046/j.1365-2427.1997.d01-540.x</w:t>
        </w:r>
      </w:hyperlink>
      <w:r>
        <w:t xml:space="preserve">.</w:t>
      </w:r>
    </w:p>
    <w:bookmarkEnd w:id="165"/>
    <w:bookmarkStart w:id="166"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66"/>
    <w:bookmarkStart w:id="168"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67">
        <w:r>
          <w:rPr>
            <w:rStyle w:val="Hyperlink"/>
          </w:rPr>
          <w:t xml:space="preserve">https://doi.org/10.1111/gec3.12039</w:t>
        </w:r>
      </w:hyperlink>
      <w:r>
        <w:t xml:space="preserve">.</w:t>
      </w:r>
    </w:p>
    <w:bookmarkEnd w:id="168"/>
    <w:bookmarkStart w:id="170"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9">
        <w:r>
          <w:rPr>
            <w:rStyle w:val="Hyperlink"/>
          </w:rPr>
          <w:t xml:space="preserve">https://doi.org/10.1007/s10661-010-1385-8</w:t>
        </w:r>
      </w:hyperlink>
      <w:r>
        <w:t xml:space="preserve">.</w:t>
      </w:r>
    </w:p>
    <w:bookmarkEnd w:id="170"/>
    <w:bookmarkStart w:id="171" w:name="ref-Smeets99"/>
    <w:p>
      <w:pPr>
        <w:pStyle w:val="Bibliography"/>
      </w:pPr>
      <w:r>
        <w:t xml:space="preserve">Smeets, E., and R. Weterings. 1999. “Environmental Indicators: Typology and Overview.” No. 25. Copenhagen, Denmark: European Environmental Agency.</w:t>
      </w:r>
    </w:p>
    <w:bookmarkEnd w:id="171"/>
    <w:bookmarkStart w:id="173"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72">
        <w:r>
          <w:rPr>
            <w:rStyle w:val="Hyperlink"/>
          </w:rPr>
          <w:t xml:space="preserve">https://doi.org/10.1111/jawr.12035</w:t>
        </w:r>
      </w:hyperlink>
      <w:r>
        <w:t xml:space="preserve">.</w:t>
      </w:r>
    </w:p>
    <w:bookmarkEnd w:id="173"/>
    <w:bookmarkStart w:id="175"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74">
        <w:r>
          <w:rPr>
            <w:rStyle w:val="Hyperlink"/>
          </w:rPr>
          <w:t xml:space="preserve">https://doi.org/10.1002/eco.1869</w:t>
        </w:r>
      </w:hyperlink>
      <w:r>
        <w:t xml:space="preserve">.</w:t>
      </w:r>
    </w:p>
    <w:bookmarkEnd w:id="175"/>
    <w:bookmarkStart w:id="177"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76">
        <w:r>
          <w:rPr>
            <w:rStyle w:val="Hyperlink"/>
          </w:rPr>
          <w:t xml:space="preserve">https://doi.org/10.1890/1051-0761(2006)016[1267:SEFTEC]2.0.CO;2</w:t>
        </w:r>
      </w:hyperlink>
      <w:r>
        <w:t xml:space="preserve">.</w:t>
      </w:r>
    </w:p>
    <w:bookmarkEnd w:id="177"/>
    <w:bookmarkStart w:id="179"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8">
        <w:r>
          <w:rPr>
            <w:rStyle w:val="Hyperlink"/>
          </w:rPr>
          <w:t xml:space="preserve">https://doi.org/10.1046/j.1365-2427.1998.00272.x</w:t>
        </w:r>
      </w:hyperlink>
      <w:r>
        <w:t xml:space="preserve">.</w:t>
      </w:r>
    </w:p>
    <w:bookmarkEnd w:id="179"/>
    <w:bookmarkStart w:id="180"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80"/>
    <w:bookmarkStart w:id="181" w:name="ref-USGS99"/>
    <w:p>
      <w:pPr>
        <w:pStyle w:val="Bibliography"/>
      </w:pPr>
      <w:r>
        <w:t xml:space="preserve">USGS (US Geological Survey). 1999. “The quality of our nation’s waters: nutrients and pesticides.” Reston, Virginia.</w:t>
      </w:r>
    </w:p>
    <w:bookmarkEnd w:id="181"/>
    <w:bookmarkStart w:id="183"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82">
        <w:r>
          <w:rPr>
            <w:rStyle w:val="Hyperlink"/>
          </w:rPr>
          <w:t xml:space="preserve">https://doi.org/10.1023/A:1023374524254</w:t>
        </w:r>
      </w:hyperlink>
      <w:r>
        <w:t xml:space="preserve">.</w:t>
      </w:r>
    </w:p>
    <w:bookmarkEnd w:id="183"/>
    <w:bookmarkStart w:id="185"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84">
        <w:r>
          <w:rPr>
            <w:rStyle w:val="Hyperlink"/>
          </w:rPr>
          <w:t xml:space="preserve">https://doi.org/10.1111/jawr.12032</w:t>
        </w:r>
      </w:hyperlink>
      <w:r>
        <w:t xml:space="preserve">.</w:t>
      </w:r>
    </w:p>
    <w:bookmarkEnd w:id="185"/>
    <w:bookmarkStart w:id="187"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86">
        <w:r>
          <w:rPr>
            <w:rStyle w:val="Hyperlink"/>
          </w:rPr>
          <w:t xml:space="preserve">https://doi.org/10.1371/journal.pone.0090944</w:t>
        </w:r>
      </w:hyperlink>
      <w:r>
        <w:t xml:space="preserve">.</w:t>
      </w:r>
    </w:p>
    <w:bookmarkEnd w:id="187"/>
    <w:bookmarkStart w:id="189"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8">
        <w:r>
          <w:rPr>
            <w:rStyle w:val="Hyperlink"/>
          </w:rPr>
          <w:t xml:space="preserve">https://doi.org/10.1899/04-028.1</w:t>
        </w:r>
      </w:hyperlink>
      <w:r>
        <w:t xml:space="preserve">.</w:t>
      </w:r>
    </w:p>
    <w:bookmarkEnd w:id="189"/>
    <w:bookmarkStart w:id="19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90">
        <w:r>
          <w:rPr>
            <w:rStyle w:val="Hyperlink"/>
          </w:rPr>
          <w:t xml:space="preserve">https://doi.org/10.1577/1548-8446(1997)022%3C0006:IOWLUO%3E2.0.CO;2</w:t>
        </w:r>
      </w:hyperlink>
      <w:r>
        <w:t xml:space="preserve">.</w:t>
      </w:r>
    </w:p>
    <w:bookmarkEnd w:id="191"/>
    <w:bookmarkEnd w:id="19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8" Target="media/rId58.jpg" /><Relationship Type="http://schemas.openxmlformats.org/officeDocument/2006/relationships/image" Id="rId50" Target="media/rId50.jpg" /><Relationship Type="http://schemas.openxmlformats.org/officeDocument/2006/relationships/image" Id="rId54" Target="media/rId54.jpg" /><Relationship Type="http://schemas.openxmlformats.org/officeDocument/2006/relationships/image" Id="rId51" Target="media/rId51.pn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56" Target="media/rId56.jpg" /><Relationship Type="http://schemas.openxmlformats.org/officeDocument/2006/relationships/image" Id="rId53" Target="media/rId53.jpg" /><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8" Target="https://CRAN.R-project.org/package=quantregForest" TargetMode="External" /><Relationship Type="http://schemas.openxmlformats.org/officeDocument/2006/relationships/hyperlink" Id="rId144"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74" Target="https://doi.org/10.1002/eco.186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9" Target="https://doi.org/10.1007/s10661-010-1385-8" TargetMode="External" /><Relationship Type="http://schemas.openxmlformats.org/officeDocument/2006/relationships/hyperlink" Id="rId81"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6"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53" Target="https://doi.org/10.1016/j.foreco.2008.07.041" TargetMode="External" /><Relationship Type="http://schemas.openxmlformats.org/officeDocument/2006/relationships/hyperlink" Id="rId79" Target="https://doi.org/10.1016/j.landurbplan.2012.07.009" TargetMode="External" /><Relationship Type="http://schemas.openxmlformats.org/officeDocument/2006/relationships/hyperlink" Id="rId182"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121" Target="https://doi.org/10.1046/j.1365-2427.1997.d01-539.x" TargetMode="External" /><Relationship Type="http://schemas.openxmlformats.org/officeDocument/2006/relationships/hyperlink" Id="rId164" Target="https://doi.org/10.1046/j.1365-2427.1997.d01-540.x" TargetMode="External" /><Relationship Type="http://schemas.openxmlformats.org/officeDocument/2006/relationships/hyperlink" Id="rId61" Target="https://doi.org/10.1046/j.1365-2427.1997.d01-546.x" TargetMode="External" /><Relationship Type="http://schemas.openxmlformats.org/officeDocument/2006/relationships/hyperlink" Id="rId178" Target="https://doi.org/10.1046/j.1365-2427.1998.00272.x" TargetMode="External" /><Relationship Type="http://schemas.openxmlformats.org/officeDocument/2006/relationships/hyperlink" Id="rId119" Target="https://doi.org/10.1080/03680770.1974.11896033" TargetMode="External" /><Relationship Type="http://schemas.openxmlformats.org/officeDocument/2006/relationships/hyperlink" Id="rId134" Target="https://doi.org/10.1086/675683"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7" Target="https://doi.org/10.1111/gec3.12039" TargetMode="External" /><Relationship Type="http://schemas.openxmlformats.org/officeDocument/2006/relationships/hyperlink" Id="rId142"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70" Target="https://doi.org/10.1111/j.1526-100X.2007.00244.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51" Target="https://doi.org/10.1111/j.1752-1688.2008.00280.x" TargetMode="External" /><Relationship Type="http://schemas.openxmlformats.org/officeDocument/2006/relationships/hyperlink" Id="rId124" Target="https://doi.org/10.1111/j.1752-1688.2011.00635.x" TargetMode="External" /><Relationship Type="http://schemas.openxmlformats.org/officeDocument/2006/relationships/hyperlink" Id="rId184" Target="https://doi.org/10.1111/jawr.12032" TargetMode="External" /><Relationship Type="http://schemas.openxmlformats.org/officeDocument/2006/relationships/hyperlink" Id="rId172" Target="https://doi.org/10.1111/jawr.12035" TargetMode="External" /><Relationship Type="http://schemas.openxmlformats.org/officeDocument/2006/relationships/hyperlink" Id="rId75" Target="https://doi.org/10.1177/0739456X03022004007" TargetMode="External" /><Relationship Type="http://schemas.openxmlformats.org/officeDocument/2006/relationships/hyperlink" Id="rId186" Target="https://doi.org/10.1371/journal.pone.0090944" TargetMode="External" /><Relationship Type="http://schemas.openxmlformats.org/officeDocument/2006/relationships/hyperlink" Id="rId190"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6" Target="https://doi.org/10.1890/1051-0761(2006)016[1267:SEFTEC]2.0.CO;2" TargetMode="External" /><Relationship Type="http://schemas.openxmlformats.org/officeDocument/2006/relationships/hyperlink" Id="rId188"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7"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62" Target="https://doi.org/10.2307/1468175" TargetMode="External" /><Relationship Type="http://schemas.openxmlformats.org/officeDocument/2006/relationships/hyperlink" Id="rId100" Target="https://doi.org/10.2307/41416699" TargetMode="External" /><Relationship Type="http://schemas.openxmlformats.org/officeDocument/2006/relationships/hyperlink" Id="rId129" Target="https://doi.org/10.3368/er.34.2.124" TargetMode="External" /><Relationship Type="http://schemas.openxmlformats.org/officeDocument/2006/relationships/hyperlink" Id="rId72" Target="https://www.waterboards.ca.gov/sandiego/water_issues/programs/303d_list/docs/Staff_Report_101216.pdf" TargetMode="External" /><Relationship Type="http://schemas.openxmlformats.org/officeDocument/2006/relationships/hyperlink" Id="rId146" Target="https://www.waterboards.ca.gov/water_issues/programs/swamp/bioassessment/docs/combined_sop_2016.pdf" TargetMode="External" /><Relationship Type="http://schemas.openxmlformats.org/officeDocument/2006/relationships/hyperlink" Id="rId160" Target="https://www.waterboards.ca.gov/water_issues/programs/swamp/bioassessment/docs/physical_habitat_index_technical_memo.pdf" TargetMode="External" /><Relationship Type="http://schemas.openxmlformats.org/officeDocument/2006/relationships/hyperlink" Id="rId158" Target="https://www.waterboards.ca.gov/water_issues/programs/swamp/bioassessment/docs/psa_memo_121015.pdf" TargetMode="External" /><Relationship Type="http://schemas.openxmlformats.org/officeDocument/2006/relationships/hyperlink" Id="rId148"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6"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8" Target="https://CRAN.R-project.org/package=quantregForest" TargetMode="External" /><Relationship Type="http://schemas.openxmlformats.org/officeDocument/2006/relationships/hyperlink" Id="rId144" Target="https://doi.org/10.1002/aqc.1010" TargetMode="External" /><Relationship Type="http://schemas.openxmlformats.org/officeDocument/2006/relationships/hyperlink" Id="rId113" Target="https://doi.org/10.1002/eap.1617" TargetMode="External" /><Relationship Type="http://schemas.openxmlformats.org/officeDocument/2006/relationships/hyperlink" Id="rId174" Target="https://doi.org/10.1002/eco.1869" TargetMode="External" /><Relationship Type="http://schemas.openxmlformats.org/officeDocument/2006/relationships/hyperlink" Id="rId94" Target="https://doi.org/10.1002/rra.1053" TargetMode="External" /><Relationship Type="http://schemas.openxmlformats.org/officeDocument/2006/relationships/hyperlink" Id="rId127" Target="https://doi.org/10.1007%2Fs00267-008-9151-1" TargetMode="External" /><Relationship Type="http://schemas.openxmlformats.org/officeDocument/2006/relationships/hyperlink" Id="rId88" Target="https://doi.org/10.1007/s10661-008-0256-z" TargetMode="External" /><Relationship Type="http://schemas.openxmlformats.org/officeDocument/2006/relationships/hyperlink" Id="rId169" Target="https://doi.org/10.1007/s10661-010-1385-8" TargetMode="External" /><Relationship Type="http://schemas.openxmlformats.org/officeDocument/2006/relationships/hyperlink" Id="rId81" Target="https://doi.org/10.1007/s10661-014-4132-8" TargetMode="External" /><Relationship Type="http://schemas.openxmlformats.org/officeDocument/2006/relationships/hyperlink" Id="rId109" Target="https://doi.org/10.1007/s10661-017-6025-0" TargetMode="External" /><Relationship Type="http://schemas.openxmlformats.org/officeDocument/2006/relationships/hyperlink" Id="rId156" Target="https://doi.org/10.1016/j.biocon.2008.07.014" TargetMode="External" /><Relationship Type="http://schemas.openxmlformats.org/officeDocument/2006/relationships/hyperlink" Id="rId90" Target="https://doi.org/10.1016/j.ecolind.2013.07.006" TargetMode="External" /><Relationship Type="http://schemas.openxmlformats.org/officeDocument/2006/relationships/hyperlink" Id="rId153" Target="https://doi.org/10.1016/j.foreco.2008.07.041" TargetMode="External" /><Relationship Type="http://schemas.openxmlformats.org/officeDocument/2006/relationships/hyperlink" Id="rId79" Target="https://doi.org/10.1016/j.landurbplan.2012.07.009" TargetMode="External" /><Relationship Type="http://schemas.openxmlformats.org/officeDocument/2006/relationships/hyperlink" Id="rId182" Target="https://doi.org/10.1023/A:1023374524254" TargetMode="External" /><Relationship Type="http://schemas.openxmlformats.org/officeDocument/2006/relationships/hyperlink" Id="rId103" Target="https://doi.org/10.1038/sdata.2015.73" TargetMode="External" /><Relationship Type="http://schemas.openxmlformats.org/officeDocument/2006/relationships/hyperlink" Id="rId121" Target="https://doi.org/10.1046/j.1365-2427.1997.d01-539.x" TargetMode="External" /><Relationship Type="http://schemas.openxmlformats.org/officeDocument/2006/relationships/hyperlink" Id="rId164" Target="https://doi.org/10.1046/j.1365-2427.1997.d01-540.x" TargetMode="External" /><Relationship Type="http://schemas.openxmlformats.org/officeDocument/2006/relationships/hyperlink" Id="rId61" Target="https://doi.org/10.1046/j.1365-2427.1997.d01-546.x" TargetMode="External" /><Relationship Type="http://schemas.openxmlformats.org/officeDocument/2006/relationships/hyperlink" Id="rId178" Target="https://doi.org/10.1046/j.1365-2427.1998.00272.x" TargetMode="External" /><Relationship Type="http://schemas.openxmlformats.org/officeDocument/2006/relationships/hyperlink" Id="rId119" Target="https://doi.org/10.1080/03680770.1974.11896033" TargetMode="External" /><Relationship Type="http://schemas.openxmlformats.org/officeDocument/2006/relationships/hyperlink" Id="rId134" Target="https://doi.org/10.1086/675683" TargetMode="External" /><Relationship Type="http://schemas.openxmlformats.org/officeDocument/2006/relationships/hyperlink" Id="rId92" Target="https://doi.org/10.1086/678701" TargetMode="External" /><Relationship Type="http://schemas.openxmlformats.org/officeDocument/2006/relationships/hyperlink" Id="rId117" Target="https://doi.org/10.1086/697996" TargetMode="External" /><Relationship Type="http://schemas.openxmlformats.org/officeDocument/2006/relationships/hyperlink" Id="rId115" Target="https://doi.org/10.1111/1752-1688.12372" TargetMode="External" /><Relationship Type="http://schemas.openxmlformats.org/officeDocument/2006/relationships/hyperlink" Id="rId167" Target="https://doi.org/10.1111/gec3.12039" TargetMode="External" /><Relationship Type="http://schemas.openxmlformats.org/officeDocument/2006/relationships/hyperlink" Id="rId142" Target="https://doi.org/10.1111/j.1365-2427.1987.tb01027.x" TargetMode="External" /><Relationship Type="http://schemas.openxmlformats.org/officeDocument/2006/relationships/hyperlink" Id="rId63" Target="https://doi.org/10.1111/j.1365-2427.2006.01685.x" TargetMode="External" /><Relationship Type="http://schemas.openxmlformats.org/officeDocument/2006/relationships/hyperlink" Id="rId98" Target="https://doi.org/10.1111/j.1365-2427.2011.02696.x" TargetMode="External" /><Relationship Type="http://schemas.openxmlformats.org/officeDocument/2006/relationships/hyperlink" Id="rId70" Target="https://doi.org/10.1111/j.1526-100X.2007.00244.x" TargetMode="External" /><Relationship Type="http://schemas.openxmlformats.org/officeDocument/2006/relationships/hyperlink" Id="rId86" Target="https://doi.org/10.1111/j.1526-100X.2007.00285.x" TargetMode="External" /><Relationship Type="http://schemas.openxmlformats.org/officeDocument/2006/relationships/hyperlink" Id="rId106" Target="https://doi.org/10.1111/j.1752-1688.2000.tb05717.x" TargetMode="External" /><Relationship Type="http://schemas.openxmlformats.org/officeDocument/2006/relationships/hyperlink" Id="rId151" Target="https://doi.org/10.1111/j.1752-1688.2008.00280.x" TargetMode="External" /><Relationship Type="http://schemas.openxmlformats.org/officeDocument/2006/relationships/hyperlink" Id="rId124" Target="https://doi.org/10.1111/j.1752-1688.2011.00635.x" TargetMode="External" /><Relationship Type="http://schemas.openxmlformats.org/officeDocument/2006/relationships/hyperlink" Id="rId184" Target="https://doi.org/10.1111/jawr.12032" TargetMode="External" /><Relationship Type="http://schemas.openxmlformats.org/officeDocument/2006/relationships/hyperlink" Id="rId172" Target="https://doi.org/10.1111/jawr.12035" TargetMode="External" /><Relationship Type="http://schemas.openxmlformats.org/officeDocument/2006/relationships/hyperlink" Id="rId75" Target="https://doi.org/10.1177/0739456X03022004007" TargetMode="External" /><Relationship Type="http://schemas.openxmlformats.org/officeDocument/2006/relationships/hyperlink" Id="rId186" Target="https://doi.org/10.1371/journal.pone.0090944" TargetMode="External" /><Relationship Type="http://schemas.openxmlformats.org/officeDocument/2006/relationships/hyperlink" Id="rId190" Target="https://doi.org/10.1577/1548-8446(1997)022%3C0006:IOWLUO%3E2.0.CO;2" TargetMode="External" /><Relationship Type="http://schemas.openxmlformats.org/officeDocument/2006/relationships/hyperlink" Id="rId68" Target="https://doi.org/10.1577/M06-174.1" TargetMode="External" /><Relationship Type="http://schemas.openxmlformats.org/officeDocument/2006/relationships/hyperlink" Id="rId176" Target="https://doi.org/10.1890/1051-0761(2006)016[1267:SEFTEC]2.0.CO;2" TargetMode="External" /><Relationship Type="http://schemas.openxmlformats.org/officeDocument/2006/relationships/hyperlink" Id="rId188" Target="https://doi.org/10.1899/04-028.1" TargetMode="External" /><Relationship Type="http://schemas.openxmlformats.org/officeDocument/2006/relationships/hyperlink" Id="rId84" Target="https://doi.org/10.1899/06-078.1" TargetMode="External" /><Relationship Type="http://schemas.openxmlformats.org/officeDocument/2006/relationships/hyperlink" Id="rId77" Target="https://doi.org/10.1899/08-153.1" TargetMode="External" /><Relationship Type="http://schemas.openxmlformats.org/officeDocument/2006/relationships/hyperlink" Id="rId96" Target="https://doi.org/10.1899/0887-3593(2004)023%3C0599:BWRSUO%3E2.0.CO;2" TargetMode="External" /><Relationship Type="http://schemas.openxmlformats.org/officeDocument/2006/relationships/hyperlink" Id="rId162" Target="https://doi.org/10.2307/1468175" TargetMode="External" /><Relationship Type="http://schemas.openxmlformats.org/officeDocument/2006/relationships/hyperlink" Id="rId100" Target="https://doi.org/10.2307/41416699" TargetMode="External" /><Relationship Type="http://schemas.openxmlformats.org/officeDocument/2006/relationships/hyperlink" Id="rId129" Target="https://doi.org/10.3368/er.34.2.124" TargetMode="External" /><Relationship Type="http://schemas.openxmlformats.org/officeDocument/2006/relationships/hyperlink" Id="rId72" Target="https://www.waterboards.ca.gov/sandiego/water_issues/programs/303d_list/docs/Staff_Report_101216.pdf" TargetMode="External" /><Relationship Type="http://schemas.openxmlformats.org/officeDocument/2006/relationships/hyperlink" Id="rId146" Target="https://www.waterboards.ca.gov/water_issues/programs/swamp/bioassessment/docs/combined_sop_2016.pdf" TargetMode="External" /><Relationship Type="http://schemas.openxmlformats.org/officeDocument/2006/relationships/hyperlink" Id="rId160" Target="https://www.waterboards.ca.gov/water_issues/programs/swamp/bioassessment/docs/physical_habitat_index_technical_memo.pdf" TargetMode="External" /><Relationship Type="http://schemas.openxmlformats.org/officeDocument/2006/relationships/hyperlink" Id="rId158" Target="https://www.waterboards.ca.gov/water_issues/programs/swamp/bioassessment/docs/psa_memo_121015.pdf" TargetMode="External" /><Relationship Type="http://schemas.openxmlformats.org/officeDocument/2006/relationships/hyperlink" Id="rId148"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2019-03-02T00:52:46Z</dcterms:created>
  <dcterms:modified xsi:type="dcterms:W3CDTF">2019-03-02T00:52:46Z</dcterms:modified>
</cp:coreProperties>
</file>